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838A9" w14:textId="77777777" w:rsidR="00A51884" w:rsidRDefault="005A66AD">
      <w:pPr>
        <w:shd w:val="clear" w:color="auto" w:fill="FFFFFF"/>
        <w:spacing w:before="240" w:after="240"/>
        <w:ind w:left="720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noProof/>
          <w:sz w:val="24"/>
          <w:szCs w:val="24"/>
          <w:u w:val="single"/>
        </w:rPr>
        <w:drawing>
          <wp:inline distT="19050" distB="19050" distL="19050" distR="19050" wp14:anchorId="012680CC" wp14:editId="3D27D480">
            <wp:extent cx="4316341" cy="88704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341" cy="887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B27893" w14:textId="77777777" w:rsidR="00A51884" w:rsidRDefault="005A66AD">
      <w:pPr>
        <w:shd w:val="clear" w:color="auto" w:fill="FFFFFF"/>
        <w:spacing w:before="240" w:after="240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STRICTLY CONFIDENTIAL</w:t>
      </w:r>
    </w:p>
    <w:p w14:paraId="4BC85653" w14:textId="77777777" w:rsidR="00A51884" w:rsidRDefault="005A66AD">
      <w:pPr>
        <w:shd w:val="clear" w:color="auto" w:fill="FFFFFF"/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University of Leeds WHO Collaborating Centre</w:t>
      </w:r>
    </w:p>
    <w:p w14:paraId="5FA48D76" w14:textId="77777777" w:rsidR="00A51884" w:rsidRDefault="005A66AD">
      <w:pPr>
        <w:shd w:val="clear" w:color="auto" w:fill="FFFFFF"/>
        <w:spacing w:before="240" w:after="240"/>
        <w:rPr>
          <w:rFonts w:ascii="Open Sans" w:eastAsia="Open Sans" w:hAnsi="Open Sans" w:cs="Open Sans"/>
          <w:b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Contact: Ali Morpeth </w:t>
      </w:r>
      <w:hyperlink r:id="rId6">
        <w:r>
          <w:rPr>
            <w:rFonts w:ascii="Calibri" w:eastAsia="Calibri" w:hAnsi="Calibri" w:cs="Calibri"/>
            <w:b/>
            <w:color w:val="1155CC"/>
            <w:sz w:val="24"/>
            <w:szCs w:val="24"/>
          </w:rPr>
          <w:t>psamo@leeds.ac.uk</w:t>
        </w:r>
      </w:hyperlink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46D3C381" w14:textId="77777777" w:rsidR="00A51884" w:rsidRDefault="00A51884">
      <w:pPr>
        <w:rPr>
          <w:rFonts w:ascii="Open Sans" w:eastAsia="Open Sans" w:hAnsi="Open Sans" w:cs="Open Sans"/>
          <w:b/>
          <w:u w:val="single"/>
        </w:rPr>
      </w:pPr>
    </w:p>
    <w:p w14:paraId="45000B52" w14:textId="77777777" w:rsidR="00A51884" w:rsidRDefault="005A66AD">
      <w:pPr>
        <w:rPr>
          <w:rFonts w:ascii="Open Sans" w:eastAsia="Open Sans" w:hAnsi="Open Sans" w:cs="Open Sans"/>
          <w:b/>
          <w:sz w:val="28"/>
          <w:szCs w:val="28"/>
          <w:u w:val="single"/>
        </w:rPr>
      </w:pPr>
      <w:r>
        <w:rPr>
          <w:rFonts w:ascii="Open Sans" w:eastAsia="Open Sans" w:hAnsi="Open Sans" w:cs="Open Sans"/>
          <w:b/>
          <w:sz w:val="28"/>
          <w:szCs w:val="28"/>
          <w:u w:val="single"/>
        </w:rPr>
        <w:t xml:space="preserve">Sugar in the Nutrient and Promotion Profile Model </w:t>
      </w:r>
    </w:p>
    <w:p w14:paraId="2DBF325D" w14:textId="77777777" w:rsidR="00A51884" w:rsidRDefault="00A51884">
      <w:pPr>
        <w:rPr>
          <w:rFonts w:ascii="Open Sans" w:eastAsia="Open Sans" w:hAnsi="Open Sans" w:cs="Open Sans"/>
        </w:rPr>
      </w:pPr>
    </w:p>
    <w:p w14:paraId="1AFBF101" w14:textId="77777777" w:rsidR="00A51884" w:rsidRDefault="005A66AD">
      <w:p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Background</w:t>
      </w:r>
    </w:p>
    <w:p w14:paraId="4E597753" w14:textId="77777777" w:rsidR="00A51884" w:rsidRDefault="00A51884">
      <w:pPr>
        <w:rPr>
          <w:rFonts w:ascii="Open Sans" w:eastAsia="Open Sans" w:hAnsi="Open Sans" w:cs="Open Sans"/>
        </w:rPr>
      </w:pPr>
    </w:p>
    <w:p w14:paraId="59437B53" w14:textId="77777777" w:rsidR="00A51884" w:rsidRDefault="005A66AD">
      <w:p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t xml:space="preserve">Where national guidelines exist for this age group, most recommend that free-sugar intake for infants should be as low as possible, indicating that any NPM developed </w:t>
      </w:r>
      <w:r>
        <w:rPr>
          <w:rFonts w:ascii="Open Sans" w:eastAsia="Open Sans" w:hAnsi="Open Sans" w:cs="Open Sans"/>
          <w:b/>
        </w:rPr>
        <w:t>should address the use of added sugars and sweetening agents as well as the use of fruit p</w:t>
      </w:r>
      <w:r>
        <w:rPr>
          <w:rFonts w:ascii="Open Sans" w:eastAsia="Open Sans" w:hAnsi="Open Sans" w:cs="Open Sans"/>
          <w:b/>
        </w:rPr>
        <w:t>urée as an ingredient.</w:t>
      </w:r>
    </w:p>
    <w:p w14:paraId="0CDF06A2" w14:textId="77777777" w:rsidR="00A51884" w:rsidRDefault="00A51884">
      <w:pPr>
        <w:rPr>
          <w:rFonts w:ascii="Open Sans" w:eastAsia="Open Sans" w:hAnsi="Open Sans" w:cs="Open Sans"/>
          <w:b/>
        </w:rPr>
      </w:pPr>
    </w:p>
    <w:p w14:paraId="630E2268" w14:textId="77777777" w:rsidR="00A51884" w:rsidRDefault="005A66AD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In the analysis of products, many </w:t>
      </w:r>
      <w:proofErr w:type="spellStart"/>
      <w:r>
        <w:rPr>
          <w:rFonts w:ascii="Open Sans" w:eastAsia="Open Sans" w:hAnsi="Open Sans" w:cs="Open Sans"/>
        </w:rPr>
        <w:t>savoury</w:t>
      </w:r>
      <w:proofErr w:type="spellEnd"/>
      <w:r>
        <w:rPr>
          <w:rFonts w:ascii="Open Sans" w:eastAsia="Open Sans" w:hAnsi="Open Sans" w:cs="Open Sans"/>
        </w:rPr>
        <w:t xml:space="preserve">-type meals sold in the United Kingdom and Denmark derived over 15% energy from total sugars, with fruit purée providing much of the sugar content even in ostensibly </w:t>
      </w:r>
      <w:proofErr w:type="spellStart"/>
      <w:r>
        <w:rPr>
          <w:rFonts w:ascii="Open Sans" w:eastAsia="Open Sans" w:hAnsi="Open Sans" w:cs="Open Sans"/>
        </w:rPr>
        <w:t>savoury</w:t>
      </w:r>
      <w:proofErr w:type="spellEnd"/>
      <w:r>
        <w:rPr>
          <w:rFonts w:ascii="Open Sans" w:eastAsia="Open Sans" w:hAnsi="Open Sans" w:cs="Open Sans"/>
        </w:rPr>
        <w:t xml:space="preserve"> products. </w:t>
      </w:r>
      <w:proofErr w:type="gramStart"/>
      <w:r>
        <w:rPr>
          <w:rFonts w:ascii="Open Sans" w:eastAsia="Open Sans" w:hAnsi="Open Sans" w:cs="Open Sans"/>
        </w:rPr>
        <w:t>Similar</w:t>
      </w:r>
      <w:r>
        <w:rPr>
          <w:rFonts w:ascii="Open Sans" w:eastAsia="Open Sans" w:hAnsi="Open Sans" w:cs="Open Sans"/>
        </w:rPr>
        <w:t xml:space="preserve"> to</w:t>
      </w:r>
      <w:proofErr w:type="gramEnd"/>
      <w:r>
        <w:rPr>
          <w:rFonts w:ascii="Open Sans" w:eastAsia="Open Sans" w:hAnsi="Open Sans" w:cs="Open Sans"/>
        </w:rPr>
        <w:t xml:space="preserve"> fruit juices, these sugars can be considered free sugars, due to the high maceration and consequent release of sugars from the cell wall. </w:t>
      </w:r>
    </w:p>
    <w:p w14:paraId="304ADA68" w14:textId="77777777" w:rsidR="00A51884" w:rsidRDefault="00A51884">
      <w:pPr>
        <w:rPr>
          <w:rFonts w:ascii="Open Sans" w:eastAsia="Open Sans" w:hAnsi="Open Sans" w:cs="Open Sans"/>
          <w:b/>
        </w:rPr>
      </w:pPr>
    </w:p>
    <w:p w14:paraId="42A98D77" w14:textId="77777777" w:rsidR="00A51884" w:rsidRDefault="005A66AD">
      <w:pPr>
        <w:rPr>
          <w:rFonts w:ascii="Open Sans" w:eastAsia="Open Sans" w:hAnsi="Open Sans" w:cs="Open Sans"/>
          <w:b/>
        </w:rPr>
      </w:pPr>
      <w:proofErr w:type="gramStart"/>
      <w:r>
        <w:rPr>
          <w:rFonts w:ascii="Open Sans" w:eastAsia="Open Sans" w:hAnsi="Open Sans" w:cs="Open Sans"/>
        </w:rPr>
        <w:t>It is clear that added</w:t>
      </w:r>
      <w:proofErr w:type="gramEnd"/>
      <w:r>
        <w:rPr>
          <w:rFonts w:ascii="Open Sans" w:eastAsia="Open Sans" w:hAnsi="Open Sans" w:cs="Open Sans"/>
        </w:rPr>
        <w:t xml:space="preserve"> sugars are an issue in For Infants Young Children (FIYC) in the 10 countries assessed in </w:t>
      </w:r>
      <w:r>
        <w:rPr>
          <w:rFonts w:ascii="Open Sans" w:eastAsia="Open Sans" w:hAnsi="Open Sans" w:cs="Open Sans"/>
        </w:rPr>
        <w:t>the validation study: addition of free sugars was identified as the most wide-spread issue and reason for products to ‘fail’ the draft NPM. Many more products would be considered suitable on all other criteria if free sugars were not added.</w:t>
      </w:r>
      <w:r>
        <w:rPr>
          <w:rFonts w:ascii="Open Sans" w:eastAsia="Open Sans" w:hAnsi="Open Sans" w:cs="Open Sans"/>
          <w:b/>
        </w:rPr>
        <w:t xml:space="preserve"> </w:t>
      </w:r>
    </w:p>
    <w:p w14:paraId="7DA4E538" w14:textId="77777777" w:rsidR="00A51884" w:rsidRDefault="00A51884">
      <w:pPr>
        <w:rPr>
          <w:rFonts w:ascii="Open Sans" w:eastAsia="Open Sans" w:hAnsi="Open Sans" w:cs="Open Sans"/>
        </w:rPr>
      </w:pPr>
    </w:p>
    <w:p w14:paraId="39FA9120" w14:textId="77777777" w:rsidR="00A51884" w:rsidRDefault="005A66AD">
      <w:p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The sugar cri</w:t>
      </w:r>
      <w:r>
        <w:rPr>
          <w:rFonts w:ascii="Open Sans" w:eastAsia="Open Sans" w:hAnsi="Open Sans" w:cs="Open Sans"/>
          <w:b/>
        </w:rPr>
        <w:t>teria in the NPPM</w:t>
      </w:r>
    </w:p>
    <w:p w14:paraId="5C9E5529" w14:textId="77777777" w:rsidR="00A51884" w:rsidRDefault="005A66AD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Sugar thresholds have been set across product categories in the NPPM to address free sugars, and we have stipulated the need for a Front </w:t>
      </w:r>
      <w:proofErr w:type="gramStart"/>
      <w:r>
        <w:rPr>
          <w:rFonts w:ascii="Open Sans" w:eastAsia="Open Sans" w:hAnsi="Open Sans" w:cs="Open Sans"/>
        </w:rPr>
        <w:t>Of</w:t>
      </w:r>
      <w:proofErr w:type="gramEnd"/>
      <w:r>
        <w:rPr>
          <w:rFonts w:ascii="Open Sans" w:eastAsia="Open Sans" w:hAnsi="Open Sans" w:cs="Open Sans"/>
        </w:rPr>
        <w:t xml:space="preserve"> Pack (FOP) warning label on products that are high in sugar where: </w:t>
      </w:r>
    </w:p>
    <w:p w14:paraId="4135EC3F" w14:textId="77777777" w:rsidR="00A51884" w:rsidRDefault="005A66AD">
      <w:pPr>
        <w:numPr>
          <w:ilvl w:val="1"/>
          <w:numId w:val="4"/>
        </w:numPr>
        <w:spacing w:line="240" w:lineRule="auto"/>
        <w:ind w:left="15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&gt;30% energy is from sugar in f</w:t>
      </w:r>
      <w:r>
        <w:rPr>
          <w:rFonts w:ascii="Open Sans" w:eastAsia="Open Sans" w:hAnsi="Open Sans" w:cs="Open Sans"/>
        </w:rPr>
        <w:t xml:space="preserve">ruit or vegetable purees, </w:t>
      </w:r>
      <w:proofErr w:type="gramStart"/>
      <w:r>
        <w:rPr>
          <w:rFonts w:ascii="Open Sans" w:eastAsia="Open Sans" w:hAnsi="Open Sans" w:cs="Open Sans"/>
        </w:rPr>
        <w:t>desserts</w:t>
      </w:r>
      <w:proofErr w:type="gramEnd"/>
      <w:r>
        <w:rPr>
          <w:rFonts w:ascii="Open Sans" w:eastAsia="Open Sans" w:hAnsi="Open Sans" w:cs="Open Sans"/>
        </w:rPr>
        <w:t xml:space="preserve"> and dry fruit </w:t>
      </w:r>
    </w:p>
    <w:p w14:paraId="4CB50B5F" w14:textId="77777777" w:rsidR="00A51884" w:rsidRDefault="005A66AD">
      <w:pPr>
        <w:numPr>
          <w:ilvl w:val="1"/>
          <w:numId w:val="4"/>
        </w:numPr>
        <w:spacing w:line="240" w:lineRule="auto"/>
        <w:ind w:left="15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&gt;40% energy is from sugar in dairy foods </w:t>
      </w:r>
      <w:r>
        <w:rPr>
          <w:rFonts w:ascii="Open Sans" w:eastAsia="Open Sans" w:hAnsi="Open Sans" w:cs="Open Sans"/>
          <w:b/>
        </w:rPr>
        <w:t xml:space="preserve"> </w:t>
      </w:r>
    </w:p>
    <w:p w14:paraId="58821739" w14:textId="77777777" w:rsidR="00A51884" w:rsidRDefault="00A51884">
      <w:pPr>
        <w:rPr>
          <w:rFonts w:ascii="Open Sans" w:eastAsia="Open Sans" w:hAnsi="Open Sans" w:cs="Open Sans"/>
          <w:b/>
        </w:rPr>
      </w:pPr>
    </w:p>
    <w:p w14:paraId="11C1CC23" w14:textId="77777777" w:rsidR="00A51884" w:rsidRDefault="005A66AD">
      <w:p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A note on fruit purees as a form of free sugar </w:t>
      </w:r>
    </w:p>
    <w:p w14:paraId="52C119CE" w14:textId="77777777" w:rsidR="00A51884" w:rsidRDefault="005A66AD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We have not banned fruit puree (as a form of free sugar) from the Model entirely as this would essentially ban man</w:t>
      </w:r>
      <w:r>
        <w:rPr>
          <w:rFonts w:ascii="Open Sans" w:eastAsia="Open Sans" w:hAnsi="Open Sans" w:cs="Open Sans"/>
        </w:rPr>
        <w:t xml:space="preserve">y fruit products from the market. Rather, we have focused on the appropriateness of fruit puree as an ingredient across categories and restricted its use where products are </w:t>
      </w:r>
      <w:proofErr w:type="spellStart"/>
      <w:r>
        <w:rPr>
          <w:rFonts w:ascii="Open Sans" w:eastAsia="Open Sans" w:hAnsi="Open Sans" w:cs="Open Sans"/>
        </w:rPr>
        <w:t>savoury</w:t>
      </w:r>
      <w:proofErr w:type="spellEnd"/>
      <w:r>
        <w:rPr>
          <w:rFonts w:ascii="Open Sans" w:eastAsia="Open Sans" w:hAnsi="Open Sans" w:cs="Open Sans"/>
        </w:rPr>
        <w:t xml:space="preserve"> based meals, and by appropriate levels in other products (laid out in the t</w:t>
      </w:r>
      <w:r>
        <w:rPr>
          <w:rFonts w:ascii="Open Sans" w:eastAsia="Open Sans" w:hAnsi="Open Sans" w:cs="Open Sans"/>
        </w:rPr>
        <w:t>able below). By including a FOP warning label on products which are high in sugar as a result of high levels of fruit puree, we are making consumers aware of where fruit products are high in ​</w:t>
      </w:r>
      <w:proofErr w:type="gramStart"/>
      <w:r>
        <w:rPr>
          <w:rFonts w:ascii="Open Sans" w:eastAsia="Open Sans" w:hAnsi="Open Sans" w:cs="Open Sans"/>
        </w:rPr>
        <w:t>naturally-occurring</w:t>
      </w:r>
      <w:proofErr w:type="gramEnd"/>
      <w:r>
        <w:rPr>
          <w:rFonts w:ascii="Open Sans" w:eastAsia="Open Sans" w:hAnsi="Open Sans" w:cs="Open Sans"/>
        </w:rPr>
        <w:t xml:space="preserve"> sugar.  </w:t>
      </w:r>
    </w:p>
    <w:p w14:paraId="5507CB6D" w14:textId="77777777" w:rsidR="00A51884" w:rsidRDefault="00A51884">
      <w:pPr>
        <w:rPr>
          <w:rFonts w:ascii="Open Sans" w:eastAsia="Open Sans" w:hAnsi="Open Sans" w:cs="Open Sans"/>
        </w:rPr>
      </w:pPr>
    </w:p>
    <w:p w14:paraId="2713FB67" w14:textId="77777777" w:rsidR="00A51884" w:rsidRDefault="005A66AD">
      <w:p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Sugar overview by category:</w:t>
      </w:r>
    </w:p>
    <w:p w14:paraId="44A059FC" w14:textId="77777777" w:rsidR="00A51884" w:rsidRDefault="00A51884">
      <w:pPr>
        <w:rPr>
          <w:rFonts w:ascii="Open Sans" w:eastAsia="Open Sans" w:hAnsi="Open Sans" w:cs="Open Sans"/>
        </w:rPr>
      </w:pPr>
    </w:p>
    <w:tbl>
      <w:tblPr>
        <w:tblStyle w:val="a"/>
        <w:tblW w:w="12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1140"/>
        <w:gridCol w:w="3180"/>
        <w:gridCol w:w="3510"/>
        <w:gridCol w:w="4365"/>
      </w:tblGrid>
      <w:tr w:rsidR="00A51884" w14:paraId="16BF284B" w14:textId="77777777">
        <w:trPr>
          <w:trHeight w:val="440"/>
        </w:trPr>
        <w:tc>
          <w:tcPr>
            <w:tcW w:w="1800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901E5" w14:textId="77777777" w:rsidR="00A51884" w:rsidRDefault="00A51884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  <w:p w14:paraId="2CBA96DE" w14:textId="77777777" w:rsidR="00A51884" w:rsidRDefault="005A66AD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Category </w:t>
            </w:r>
          </w:p>
        </w:tc>
        <w:tc>
          <w:tcPr>
            <w:tcW w:w="31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A92FA" w14:textId="77777777" w:rsidR="00A51884" w:rsidRDefault="005A6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Sugar threshold </w:t>
            </w:r>
          </w:p>
        </w:tc>
        <w:tc>
          <w:tcPr>
            <w:tcW w:w="351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52982" w14:textId="77777777" w:rsidR="00A51884" w:rsidRDefault="005A6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Intervention </w:t>
            </w:r>
          </w:p>
        </w:tc>
        <w:tc>
          <w:tcPr>
            <w:tcW w:w="436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62BE7" w14:textId="77777777" w:rsidR="00A51884" w:rsidRDefault="005A6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Rationale </w:t>
            </w:r>
          </w:p>
        </w:tc>
      </w:tr>
      <w:tr w:rsidR="00A51884" w14:paraId="3A0BB97B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983F6" w14:textId="77777777" w:rsidR="00A51884" w:rsidRDefault="005A66AD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1, 3.1,3.2, 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84F7B" w14:textId="77777777" w:rsidR="00A51884" w:rsidRDefault="005A66AD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Dry cereals, fruit and veg purees, fruit desserts 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DF6BA" w14:textId="77777777" w:rsidR="00A51884" w:rsidRDefault="005A66AD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</w:rPr>
              <w:t>&gt; 30% total sugar</w:t>
            </w:r>
            <w:r>
              <w:rPr>
                <w:rFonts w:ascii="Open Sans" w:eastAsia="Open Sans" w:hAnsi="Open Sans" w:cs="Open Sans"/>
              </w:rPr>
              <w:t xml:space="preserve"> in dry cereals, fruit and veg purees and fruit desserts are classified as high sugar products 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F1DA2" w14:textId="77777777" w:rsidR="00A51884" w:rsidRDefault="005A66AD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FOP Warning label for products &gt;30% total sugar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07E15" w14:textId="77777777" w:rsidR="00A51884" w:rsidRDefault="00A51884">
            <w:pPr>
              <w:rPr>
                <w:rFonts w:ascii="Open Sans" w:eastAsia="Open Sans" w:hAnsi="Open Sans" w:cs="Open Sans"/>
              </w:rPr>
            </w:pPr>
          </w:p>
          <w:p w14:paraId="5B21C83D" w14:textId="77777777" w:rsidR="00A51884" w:rsidRDefault="005A66AD">
            <w:pPr>
              <w:numPr>
                <w:ilvl w:val="0"/>
                <w:numId w:val="2"/>
              </w:numP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The dry cereal category does not account for added sugars introduced when milk is added (lactose) so the 30% FO</w:t>
            </w:r>
            <w:r>
              <w:rPr>
                <w:rFonts w:ascii="Open Sans" w:eastAsia="Open Sans" w:hAnsi="Open Sans" w:cs="Open Sans"/>
              </w:rPr>
              <w:t xml:space="preserve">P label is based on the dry product </w:t>
            </w:r>
          </w:p>
        </w:tc>
      </w:tr>
      <w:tr w:rsidR="00A51884" w14:paraId="454EDE8B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77E0B" w14:textId="77777777" w:rsidR="00A51884" w:rsidRDefault="005A6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lastRenderedPageBreak/>
              <w:t>2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B6E72" w14:textId="77777777" w:rsidR="00A51884" w:rsidRDefault="005A6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Dairy 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8EE65" w14:textId="77777777" w:rsidR="00A51884" w:rsidRDefault="005A6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</w:rPr>
              <w:t>&gt; 40% total sugar</w:t>
            </w:r>
            <w:r>
              <w:rPr>
                <w:rFonts w:ascii="Open Sans" w:eastAsia="Open Sans" w:hAnsi="Open Sans" w:cs="Open Sans"/>
              </w:rPr>
              <w:t xml:space="preserve"> in dairy products classified as high sugar products </w:t>
            </w:r>
          </w:p>
          <w:p w14:paraId="2EFE7082" w14:textId="77777777" w:rsidR="00A51884" w:rsidRDefault="00A51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F0091" w14:textId="77777777" w:rsidR="00A51884" w:rsidRDefault="005A6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FOP Warning label for products &gt;40% total sugar 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5B69C" w14:textId="77777777" w:rsidR="00A51884" w:rsidRDefault="005A66AD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There is an additional sugar allowance for dairy to allow for lactose - we don't want to disallow inherently healthy products such as natural yoghurt because of their intrinsic sugars</w:t>
            </w:r>
          </w:p>
          <w:p w14:paraId="77AB42EE" w14:textId="77777777" w:rsidR="00A51884" w:rsidRDefault="005A66AD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The threshold was set at 40% because this is the natural total sugar con</w:t>
            </w:r>
            <w:r>
              <w:rPr>
                <w:rFonts w:ascii="Open Sans" w:eastAsia="Open Sans" w:hAnsi="Open Sans" w:cs="Open Sans"/>
              </w:rPr>
              <w:t>tent of many plain yogurts.</w:t>
            </w:r>
          </w:p>
          <w:p w14:paraId="00339083" w14:textId="77777777" w:rsidR="00A51884" w:rsidRDefault="00A51884">
            <w:pPr>
              <w:rPr>
                <w:rFonts w:ascii="Open Sans" w:eastAsia="Open Sans" w:hAnsi="Open Sans" w:cs="Open Sans"/>
              </w:rPr>
            </w:pPr>
          </w:p>
          <w:p w14:paraId="553BA25E" w14:textId="77777777" w:rsidR="00A51884" w:rsidRDefault="005A66AD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However, the fruit content is specified as being &lt;5% which means ​the 40% threshold relates MAINLY to milk sugars and somewhat to a small degree, the sugars derived from any fruit content. </w:t>
            </w:r>
          </w:p>
          <w:p w14:paraId="6BD0D381" w14:textId="77777777" w:rsidR="00A51884" w:rsidRDefault="005A66AD">
            <w:pPr>
              <w:shd w:val="clear" w:color="auto" w:fill="FFFFFF"/>
              <w:spacing w:before="22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​</w:t>
            </w:r>
            <w:r>
              <w:rPr>
                <w:rFonts w:ascii="Open Sans" w:eastAsia="Open Sans" w:hAnsi="Open Sans" w:cs="Open Sans"/>
              </w:rPr>
              <w:t>The low 5% fruit content in the dair</w:t>
            </w:r>
            <w:r>
              <w:rPr>
                <w:rFonts w:ascii="Open Sans" w:eastAsia="Open Sans" w:hAnsi="Open Sans" w:cs="Open Sans"/>
              </w:rPr>
              <w:t>y category means that MOST fruit-containing products are pushed out of dairy into category 3.1 (see below) and are therefore subject to the more stringent 30% FOP label as more of the sugar is coming from 'liberated fruit sugars' rather than lactose.</w:t>
            </w:r>
          </w:p>
        </w:tc>
      </w:tr>
      <w:tr w:rsidR="00A51884" w14:paraId="7D4369B7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C5CE0" w14:textId="77777777" w:rsidR="00A51884" w:rsidRDefault="005A6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4.1-4.5 and </w:t>
            </w:r>
            <w:r>
              <w:rPr>
                <w:rFonts w:ascii="Open Sans" w:eastAsia="Open Sans" w:hAnsi="Open Sans" w:cs="Open Sans"/>
              </w:rPr>
              <w:lastRenderedPageBreak/>
              <w:t xml:space="preserve">5.2 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3EA2C" w14:textId="77777777" w:rsidR="00A51884" w:rsidRDefault="005A6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lastRenderedPageBreak/>
              <w:t xml:space="preserve">Meals and snacks 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B69EF" w14:textId="77777777" w:rsidR="00A51884" w:rsidRDefault="005A6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</w:rPr>
              <w:t>Max 15% energy from total sugar</w:t>
            </w:r>
            <w:r>
              <w:rPr>
                <w:rFonts w:ascii="Open Sans" w:eastAsia="Open Sans" w:hAnsi="Open Sans" w:cs="Open Sans"/>
              </w:rPr>
              <w:t xml:space="preserve"> in meals and snacks is permitted</w:t>
            </w:r>
          </w:p>
          <w:p w14:paraId="6F9BC865" w14:textId="77777777" w:rsidR="00A51884" w:rsidRDefault="005A66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lastRenderedPageBreak/>
              <w:t xml:space="preserve"> 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3AAF9" w14:textId="77777777" w:rsidR="00A51884" w:rsidRDefault="005A66A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lastRenderedPageBreak/>
              <w:t xml:space="preserve">Products with more than 15% energy from total sugar FAIL the NPPM and </w:t>
            </w:r>
            <w:r>
              <w:rPr>
                <w:rFonts w:ascii="Open Sans" w:eastAsia="Open Sans" w:hAnsi="Open Sans" w:cs="Open Sans"/>
              </w:rPr>
              <w:lastRenderedPageBreak/>
              <w:t>are not permitted</w:t>
            </w:r>
          </w:p>
          <w:p w14:paraId="78A2FC07" w14:textId="77777777" w:rsidR="00A51884" w:rsidRDefault="005A66A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No FOP warning label is applied - the products are banned entirely </w:t>
            </w: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B9620" w14:textId="77777777" w:rsidR="00A51884" w:rsidRDefault="005A66AD">
            <w:pPr>
              <w:numPr>
                <w:ilvl w:val="0"/>
                <w:numId w:val="3"/>
              </w:num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lastRenderedPageBreak/>
              <w:t xml:space="preserve">If a meal or snack product contains more than 15% energy </w:t>
            </w:r>
            <w:r>
              <w:rPr>
                <w:rFonts w:ascii="Open Sans" w:eastAsia="Open Sans" w:hAnsi="Open Sans" w:cs="Open Sans"/>
              </w:rPr>
              <w:lastRenderedPageBreak/>
              <w:t>from total sugars it is not permissible</w:t>
            </w:r>
          </w:p>
          <w:p w14:paraId="14AB0D97" w14:textId="77777777" w:rsidR="00A51884" w:rsidRDefault="005A66AD">
            <w:pPr>
              <w:numPr>
                <w:ilvl w:val="0"/>
                <w:numId w:val="3"/>
              </w:num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If products include &gt;15% total sugar the meal would be sweet, and the Model aims to ensure meals are </w:t>
            </w:r>
            <w:proofErr w:type="spellStart"/>
            <w:r>
              <w:rPr>
                <w:rFonts w:ascii="Open Sans" w:eastAsia="Open Sans" w:hAnsi="Open Sans" w:cs="Open Sans"/>
              </w:rPr>
              <w:t>savoury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in their taste profiles</w:t>
            </w:r>
          </w:p>
          <w:p w14:paraId="013503AB" w14:textId="77777777" w:rsidR="00A51884" w:rsidRDefault="005A66AD">
            <w:pPr>
              <w:numPr>
                <w:ilvl w:val="0"/>
                <w:numId w:val="3"/>
              </w:num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Non-fruit sugary snacks are not permitted in the NPPM </w:t>
            </w:r>
          </w:p>
          <w:p w14:paraId="69DA783B" w14:textId="77777777" w:rsidR="00A51884" w:rsidRDefault="005A66AD">
            <w:pPr>
              <w:numPr>
                <w:ilvl w:val="0"/>
                <w:numId w:val="1"/>
              </w:num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​</w:t>
            </w:r>
            <w:r>
              <w:rPr>
                <w:rFonts w:ascii="Open Sans" w:eastAsia="Open Sans" w:hAnsi="Open Sans" w:cs="Open Sans"/>
              </w:rPr>
              <w:t>We only permit 100% fresh or dry fruit snacks. Where dry fruit snac</w:t>
            </w:r>
            <w:r>
              <w:rPr>
                <w:rFonts w:ascii="Open Sans" w:eastAsia="Open Sans" w:hAnsi="Open Sans" w:cs="Open Sans"/>
              </w:rPr>
              <w:t xml:space="preserve">ks must be whole or in pieces </w:t>
            </w:r>
            <w:proofErr w:type="gramStart"/>
            <w:r>
              <w:rPr>
                <w:rFonts w:ascii="Open Sans" w:eastAsia="Open Sans" w:hAnsi="Open Sans" w:cs="Open Sans"/>
              </w:rPr>
              <w:t>e.g.</w:t>
            </w:r>
            <w:proofErr w:type="gramEnd"/>
            <w:r>
              <w:rPr>
                <w:rFonts w:ascii="Open Sans" w:eastAsia="Open Sans" w:hAnsi="Open Sans" w:cs="Open Sans"/>
              </w:rPr>
              <w:t xml:space="preserve"> apple slices or raisins and not reconstituted like fruit gums)</w:t>
            </w:r>
          </w:p>
        </w:tc>
      </w:tr>
    </w:tbl>
    <w:p w14:paraId="1E3B8792" w14:textId="77777777" w:rsidR="00A51884" w:rsidRDefault="00A51884">
      <w:pPr>
        <w:rPr>
          <w:rFonts w:ascii="Open Sans" w:eastAsia="Open Sans" w:hAnsi="Open Sans" w:cs="Open Sans"/>
        </w:rPr>
      </w:pPr>
    </w:p>
    <w:p w14:paraId="6CCCA9B4" w14:textId="77777777" w:rsidR="00A51884" w:rsidRDefault="00A51884">
      <w:pPr>
        <w:rPr>
          <w:rFonts w:ascii="Open Sans" w:eastAsia="Open Sans" w:hAnsi="Open Sans" w:cs="Open Sans"/>
          <w:b/>
        </w:rPr>
      </w:pPr>
    </w:p>
    <w:p w14:paraId="02974B0A" w14:textId="77777777" w:rsidR="00A51884" w:rsidRDefault="00A51884">
      <w:pPr>
        <w:rPr>
          <w:rFonts w:ascii="Open Sans" w:eastAsia="Open Sans" w:hAnsi="Open Sans" w:cs="Open Sans"/>
        </w:rPr>
      </w:pPr>
    </w:p>
    <w:sectPr w:rsidR="00A51884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0615"/>
    <w:multiLevelType w:val="multilevel"/>
    <w:tmpl w:val="F886E6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C023AC6"/>
    <w:multiLevelType w:val="multilevel"/>
    <w:tmpl w:val="F55A25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E67F94"/>
    <w:multiLevelType w:val="multilevel"/>
    <w:tmpl w:val="60840E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62C13C5"/>
    <w:multiLevelType w:val="multilevel"/>
    <w:tmpl w:val="4ADC50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884"/>
    <w:rsid w:val="005A66AD"/>
    <w:rsid w:val="00A5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6FCB7"/>
  <w15:docId w15:val="{12748448-6072-4E6F-8ADC-95265383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amo@leeds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RIPPIN, Holly</dc:creator>
  <cp:lastModifiedBy>RIPPIN, Holly</cp:lastModifiedBy>
  <cp:revision>2</cp:revision>
  <dcterms:created xsi:type="dcterms:W3CDTF">2022-09-06T12:01:00Z</dcterms:created>
  <dcterms:modified xsi:type="dcterms:W3CDTF">2022-09-06T12:01:00Z</dcterms:modified>
</cp:coreProperties>
</file>